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outlineLvl w:val="0"/>
        <w:rPr>
          <w:rFonts w:hint="eastAsia" w:ascii="方正小标宋_GBK" w:eastAsia="方正小标宋_GBK"/>
          <w:b/>
          <w:bCs/>
          <w:spacing w:val="3"/>
          <w:sz w:val="48"/>
        </w:rPr>
      </w:pPr>
      <w:r>
        <w:rPr>
          <w:rFonts w:hint="eastAsia" w:ascii="方正小标宋_GBK" w:hAnsi="华文中宋" w:eastAsia="方正小标宋_GBK"/>
          <w:b/>
          <w:bCs/>
          <w:spacing w:val="3"/>
          <w:sz w:val="44"/>
          <w:szCs w:val="44"/>
        </w:rPr>
        <w:t>惠州市国有建设用地使用权网上挂牌</w:t>
      </w:r>
      <w:r>
        <w:rPr>
          <w:rFonts w:hint="eastAsia" w:ascii="方正小标宋_GBK" w:hAnsi="华文中宋" w:eastAsia="方正小标宋_GBK"/>
          <w:b/>
          <w:bCs/>
          <w:sz w:val="44"/>
          <w:szCs w:val="44"/>
        </w:rPr>
        <w:t>出让公告</w:t>
      </w:r>
    </w:p>
    <w:p>
      <w:pPr>
        <w:spacing w:line="520" w:lineRule="exact"/>
        <w:ind w:firstLine="640" w:firstLineChars="200"/>
        <w:jc w:val="center"/>
        <w:outlineLvl w:val="0"/>
        <w:rPr>
          <w:rFonts w:hint="eastAsia" w:ascii="仿宋_GB2312" w:eastAsia="仿宋_GB2312"/>
          <w:sz w:val="32"/>
          <w:szCs w:val="32"/>
        </w:rPr>
      </w:pPr>
      <w:r>
        <w:rPr>
          <w:rFonts w:hint="eastAsia" w:ascii="仿宋_GB2312" w:eastAsia="仿宋_GB2312"/>
          <w:sz w:val="32"/>
          <w:szCs w:val="32"/>
        </w:rPr>
        <w:t>惠公易土市直[20</w:t>
      </w:r>
      <w:r>
        <w:rPr>
          <w:rFonts w:hint="eastAsia" w:ascii="仿宋_GB2312" w:eastAsia="仿宋_GB2312"/>
          <w:sz w:val="32"/>
          <w:szCs w:val="32"/>
          <w:lang w:val="en-US" w:eastAsia="zh-CN"/>
        </w:rPr>
        <w:t>22</w:t>
      </w:r>
      <w:r>
        <w:rPr>
          <w:rFonts w:hint="eastAsia" w:ascii="仿宋_GB2312" w:eastAsia="仿宋_GB2312"/>
          <w:sz w:val="32"/>
          <w:szCs w:val="32"/>
        </w:rPr>
        <w:t>]</w:t>
      </w:r>
      <w:r>
        <w:rPr>
          <w:rFonts w:hint="eastAsia" w:ascii="仿宋_GB2312" w:eastAsia="仿宋_GB2312"/>
          <w:sz w:val="32"/>
          <w:szCs w:val="32"/>
          <w:lang w:val="en-US" w:eastAsia="zh-CN"/>
        </w:rPr>
        <w:t>020</w:t>
      </w:r>
      <w:r>
        <w:rPr>
          <w:rFonts w:hint="eastAsia" w:ascii="仿宋_GB2312" w:eastAsia="仿宋_GB2312"/>
          <w:sz w:val="32"/>
          <w:szCs w:val="32"/>
        </w:rPr>
        <w:t>号</w:t>
      </w:r>
    </w:p>
    <w:p>
      <w:pPr>
        <w:spacing w:line="520" w:lineRule="exact"/>
        <w:ind w:firstLine="640" w:firstLineChars="200"/>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根据国土资源部令第39号《招标拍卖挂牌出让国有建设用地使用权规定》和广东省人民政府令第79号《广东省土地使用权交易市场管理规定》的规定，经</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人民政府批准，惠州市</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自然资源局决定以网上挂牌方式出让下列一宗国有建设用地使用权，本次国有建设用地使用权网上挂牌出让交易具体事务委托惠州市公共资源交易中心办理。现将有关事项公告如下：</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一、网上挂牌出让地块基本情况及规划指标要求（见附表）</w:t>
      </w:r>
    </w:p>
    <w:p>
      <w:pPr>
        <w:keepNext w:val="0"/>
        <w:keepLines w:val="0"/>
        <w:pageBreakBefore w:val="0"/>
        <w:widowControl w:val="0"/>
        <w:kinsoku/>
        <w:wordWrap/>
        <w:overflowPunct/>
        <w:topLinePunct w:val="0"/>
        <w:autoSpaceDE/>
        <w:autoSpaceDN/>
        <w:bidi w:val="0"/>
        <w:spacing w:line="560" w:lineRule="exact"/>
        <w:ind w:left="319" w:leftChars="152" w:firstLine="400" w:firstLineChars="1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二、网上挂牌竞买时间为20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时至20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三、挂牌起始价为人民币</w:t>
      </w:r>
      <w:r>
        <w:rPr>
          <w:rFonts w:hint="eastAsia" w:ascii="仿宋_GB2312" w:hAnsi="仿宋_GB2312" w:eastAsia="仿宋_GB2312" w:cs="仿宋_GB2312"/>
          <w:color w:val="auto"/>
          <w:kern w:val="0"/>
          <w:sz w:val="32"/>
          <w:szCs w:val="32"/>
          <w:lang w:val="en-US" w:eastAsia="zh-CN"/>
        </w:rPr>
        <w:t>240</w:t>
      </w:r>
      <w:r>
        <w:rPr>
          <w:rFonts w:hint="eastAsia" w:ascii="仿宋_GB2312" w:hAnsi="仿宋_GB2312" w:eastAsia="仿宋_GB2312" w:cs="仿宋_GB2312"/>
          <w:sz w:val="32"/>
          <w:szCs w:val="32"/>
        </w:rPr>
        <w:t>万元,每次报价加价幅度为人民币</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万元的整数倍。</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四、中华人民共和国境内外的法人和其他组织（除法律法规另有规定外）均可申请参加竞买。申请人可以单独申请，也可以联合申请：</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ascii="Times New Roman" w:hAnsi="Times New Roman"/>
          <w:lang w:val="en-US" w:eastAsia="zh-CN"/>
        </w:rPr>
        <w:t>（即竞得人必须是新公司的唯一股东）</w:t>
      </w:r>
      <w:r>
        <w:rPr>
          <w:rFonts w:hint="default" w:ascii="Times New Roman" w:hAnsi="Times New Roman"/>
          <w:lang w:val="en-US" w:eastAsia="zh-CN"/>
        </w:rPr>
        <w:t>。</w:t>
      </w:r>
      <w:r>
        <w:rPr>
          <w:rFonts w:hint="eastAsia" w:hAnsi="仿宋_GB2312" w:cs="仿宋_GB2312"/>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Ansi="仿宋_GB2312" w:cs="仿宋_GB2312"/>
          <w:szCs w:val="32"/>
        </w:rPr>
      </w:pPr>
      <w:r>
        <w:rPr>
          <w:rFonts w:hint="eastAsia" w:hAnsi="仿宋_GB2312" w:cs="仿宋_GB2312"/>
          <w:szCs w:val="32"/>
          <w:lang w:val="en-US" w:eastAsia="zh-CN"/>
        </w:rPr>
        <w:t>五</w:t>
      </w:r>
      <w:r>
        <w:rPr>
          <w:rFonts w:hint="eastAsia" w:hAnsi="仿宋_GB2312" w:cs="仿宋_GB2312"/>
          <w:szCs w:val="32"/>
        </w:rPr>
        <w:t>、申请人应具备的其他条件：</w:t>
      </w:r>
    </w:p>
    <w:p>
      <w:pPr>
        <w:pStyle w:val="3"/>
        <w:keepNext w:val="0"/>
        <w:keepLines w:val="0"/>
        <w:pageBreakBefore w:val="0"/>
        <w:widowControl w:val="0"/>
        <w:kinsoku/>
        <w:wordWrap/>
        <w:overflowPunct/>
        <w:topLinePunct w:val="0"/>
        <w:autoSpaceDE/>
        <w:autoSpaceDN/>
        <w:bidi w:val="0"/>
        <w:spacing w:line="560" w:lineRule="exact"/>
        <w:jc w:val="both"/>
        <w:textAlignment w:val="auto"/>
        <w:outlineLvl w:val="0"/>
        <w:rPr>
          <w:rFonts w:hint="eastAsia" w:hAnsi="仿宋_GB2312" w:cs="仿宋_GB2312"/>
          <w:szCs w:val="32"/>
        </w:rPr>
      </w:pPr>
      <w:r>
        <w:rPr>
          <w:rFonts w:hint="eastAsia" w:hAnsi="仿宋_GB2312" w:cs="仿宋_GB2312"/>
          <w:szCs w:val="32"/>
        </w:rPr>
        <w:t>（一）缴交竞买保证金</w:t>
      </w:r>
      <w:r>
        <w:rPr>
          <w:rFonts w:hint="eastAsia" w:hAnsi="仿宋"/>
          <w:kern w:val="2"/>
          <w:szCs w:val="32"/>
          <w:lang w:val="en-US" w:eastAsia="zh-CN"/>
        </w:rPr>
        <w:t>72</w:t>
      </w:r>
      <w:r>
        <w:rPr>
          <w:rFonts w:hint="eastAsia" w:hAnsi="仿宋_GB2312" w:cs="仿宋_GB2312"/>
          <w:szCs w:val="32"/>
        </w:rPr>
        <w:t>万元人民币。</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0"/>
        <w:rPr>
          <w:rFonts w:hint="eastAsia" w:hAnsi="仿宋_GB2312" w:cs="仿宋_GB2312"/>
          <w:szCs w:val="32"/>
        </w:rPr>
      </w:pPr>
      <w:r>
        <w:rPr>
          <w:rFonts w:hint="eastAsia" w:hAnsi="仿宋_GB2312" w:cs="仿宋_GB2312"/>
          <w:szCs w:val="32"/>
        </w:rPr>
        <w:t>（</w:t>
      </w:r>
      <w:r>
        <w:rPr>
          <w:rFonts w:hint="eastAsia" w:hAnsi="仿宋_GB2312" w:cs="仿宋_GB2312"/>
          <w:szCs w:val="32"/>
          <w:lang w:val="en-US" w:eastAsia="zh-CN"/>
        </w:rPr>
        <w:t>二</w:t>
      </w:r>
      <w:r>
        <w:rPr>
          <w:rFonts w:hint="eastAsia" w:hAnsi="仿宋_GB2312" w:cs="仿宋_GB2312"/>
          <w:szCs w:val="32"/>
        </w:rPr>
        <w:t>）存在下列违法违规违约行为之一的企业及其控股股东，不得参与竞买上述地块：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因企业原因造成土地闲置一年以上</w:t>
      </w:r>
      <w:r>
        <w:rPr>
          <w:rFonts w:hint="eastAsia" w:ascii="仿宋" w:hAnsi="仿宋" w:eastAsia="仿宋"/>
          <w:sz w:val="32"/>
          <w:szCs w:val="32"/>
          <w:lang w:val="en-US" w:eastAsia="zh-CN"/>
        </w:rPr>
        <w:t>且至报名日止未处罚完结的；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2.</w:t>
      </w:r>
      <w:r>
        <w:rPr>
          <w:rFonts w:hint="eastAsia" w:ascii="仿宋" w:hAnsi="仿宋" w:eastAsia="仿宋"/>
          <w:sz w:val="32"/>
          <w:szCs w:val="32"/>
        </w:rPr>
        <w:t>存在伪造公文骗取用地和非法倒卖土地等犯罪行为的</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3.</w:t>
      </w:r>
      <w:r>
        <w:rPr>
          <w:rFonts w:hint="eastAsia" w:ascii="仿宋" w:hAnsi="仿宋" w:eastAsia="仿宋"/>
          <w:sz w:val="32"/>
          <w:szCs w:val="32"/>
        </w:rPr>
        <w:t>存在非法转让土地使用权等违法行为</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4.</w:t>
      </w:r>
      <w:r>
        <w:rPr>
          <w:rFonts w:hint="eastAsia" w:ascii="仿宋" w:hAnsi="仿宋" w:eastAsia="仿宋"/>
          <w:sz w:val="32"/>
          <w:szCs w:val="32"/>
        </w:rPr>
        <w:t>开发建设企业违背出让合同约定条件开发利用土地</w:t>
      </w:r>
      <w:r>
        <w:rPr>
          <w:rFonts w:hint="eastAsia" w:ascii="仿宋" w:hAnsi="仿宋" w:eastAsia="仿宋"/>
          <w:sz w:val="32"/>
          <w:szCs w:val="32"/>
          <w:lang w:val="en-US" w:eastAsia="zh-CN"/>
        </w:rPr>
        <w:t>情形且至报名日止未处罚完结的；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_GB2312" w:hAnsi="宋体" w:eastAsia="仿宋_GB2312" w:cs="宋体"/>
          <w:color w:val="auto"/>
          <w:kern w:val="0"/>
          <w:sz w:val="32"/>
          <w:szCs w:val="32"/>
          <w:lang w:val="en-US" w:eastAsia="zh-CN" w:bidi="ar-SA"/>
        </w:rPr>
        <w:t>至报名日止仍拖欠政府地价款</w:t>
      </w:r>
      <w:r>
        <w:rPr>
          <w:rFonts w:hint="eastAsia" w:ascii="仿宋" w:hAnsi="仿宋" w:eastAsia="仿宋"/>
          <w:sz w:val="32"/>
          <w:szCs w:val="32"/>
        </w:rPr>
        <w:t>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、本次国有建设用地使用权网上挂牌出让为无底价挂牌出让，按照价高者得的原则确定竞得人。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、本次网上挂牌出让的详细资料和具体要求，见惠州市公共资源交易中心土地与矿业网上挂牌交易系统（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、有意竞买者可以自行到地块现场踏勘（可在网上挂牌交易系统查阅位置图和现状图）。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、申请人应当在网上挂牌出让结束前登</w:t>
      </w:r>
      <w:r>
        <w:rPr>
          <w:rFonts w:hint="eastAsia" w:ascii="仿宋_GB2312" w:hAnsi="仿宋_GB2312" w:eastAsia="仿宋_GB2312" w:cs="仿宋_GB2312"/>
          <w:sz w:val="32"/>
          <w:szCs w:val="32"/>
          <w:lang w:val="en-US" w:eastAsia="zh-CN"/>
        </w:rPr>
        <w:t>录</w:t>
      </w:r>
      <w:r>
        <w:rPr>
          <w:rFonts w:hint="eastAsia" w:ascii="仿宋_GB2312" w:hAnsi="仿宋_GB2312" w:eastAsia="仿宋_GB2312" w:cs="仿宋_GB2312"/>
          <w:sz w:val="32"/>
          <w:szCs w:val="32"/>
        </w:rPr>
        <w:t>惠州市公共资源交易中心土地与矿业网上挂牌交易系统并在系统上向惠州市公共资源交易中心提交竞买申请并支付保证金。网上挂牌保证金到账截止时间为20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时止。网上挂牌报价时间截止时，经系统询问，有竞买人表示愿意继续竞价的，系统自动进入网上限时竞价程序，通过竞价确定竞得人。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、网上挂牌系统确定成交后，竞得人缴纳的竞买保证金按</w:t>
      </w:r>
      <w:r>
        <w:rPr>
          <w:rFonts w:hint="eastAsia" w:ascii="仿宋_GB2312" w:hAnsi="仿宋_GB2312" w:eastAsia="仿宋_GB2312" w:cs="仿宋_GB2312"/>
          <w:sz w:val="32"/>
          <w:szCs w:val="32"/>
          <w:lang w:val="en-US" w:eastAsia="zh-CN"/>
        </w:rPr>
        <w:t>成交价的20%转作</w:t>
      </w:r>
      <w:r>
        <w:rPr>
          <w:rFonts w:hint="eastAsia" w:ascii="仿宋_GB2312" w:hAnsi="仿宋_GB2312" w:eastAsia="仿宋_GB2312" w:cs="仿宋_GB2312"/>
          <w:sz w:val="32"/>
          <w:szCs w:val="32"/>
        </w:rPr>
        <w:t>定金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w:t>
      </w:r>
      <w:r>
        <w:rPr>
          <w:rFonts w:hint="eastAsia" w:ascii="仿宋_GB2312" w:hAnsi="仿宋_GB2312" w:eastAsia="仿宋_GB2312" w:cs="仿宋_GB2312"/>
          <w:sz w:val="32"/>
          <w:szCs w:val="32"/>
          <w:lang w:eastAsia="zh-CN"/>
        </w:rPr>
        <w:t>竞买保证金</w:t>
      </w:r>
      <w:r>
        <w:rPr>
          <w:rFonts w:hint="eastAsia" w:ascii="仿宋_GB2312" w:hAnsi="仿宋_GB2312" w:eastAsia="仿宋_GB2312" w:cs="仿宋_GB2312"/>
          <w:sz w:val="32"/>
          <w:szCs w:val="32"/>
          <w:lang w:val="en-US" w:eastAsia="zh-CN"/>
        </w:rPr>
        <w:t>不足以缴纳定金，</w:t>
      </w:r>
      <w:r>
        <w:rPr>
          <w:rFonts w:hint="eastAsia" w:ascii="仿宋_GB2312" w:hAnsi="仿宋_GB2312" w:eastAsia="仿宋_GB2312" w:cs="仿宋_GB2312"/>
          <w:sz w:val="32"/>
          <w:szCs w:val="32"/>
        </w:rPr>
        <w:t>不足部分在交易系统确定成交之日起5个工作日内补齐</w:t>
      </w:r>
      <w:r>
        <w:rPr>
          <w:rFonts w:hint="eastAsia" w:ascii="仿宋_GB2312" w:hAnsi="仿宋_GB2312" w:eastAsia="仿宋_GB2312" w:cs="仿宋_GB2312"/>
          <w:sz w:val="32"/>
          <w:szCs w:val="32"/>
          <w:lang w:eastAsia="zh-CN"/>
        </w:rPr>
        <w:t>；如竞买保证金转作定金</w:t>
      </w:r>
      <w:r>
        <w:rPr>
          <w:rFonts w:hint="eastAsia" w:ascii="仿宋_GB2312" w:hAnsi="仿宋_GB2312" w:eastAsia="仿宋_GB2312" w:cs="仿宋_GB2312"/>
          <w:sz w:val="32"/>
          <w:szCs w:val="32"/>
          <w:lang w:val="en-US" w:eastAsia="zh-CN"/>
        </w:rPr>
        <w:t>后有剩余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余额抵作</w:t>
      </w:r>
      <w:r>
        <w:rPr>
          <w:rFonts w:hint="eastAsia" w:ascii="仿宋_GB2312" w:hAnsi="仿宋_GB2312" w:eastAsia="仿宋_GB2312" w:cs="仿宋_GB2312"/>
          <w:sz w:val="32"/>
          <w:szCs w:val="32"/>
          <w:lang w:val="en-US" w:eastAsia="zh-CN"/>
        </w:rPr>
        <w:t>土地</w:t>
      </w:r>
      <w:r>
        <w:rPr>
          <w:rFonts w:hint="eastAsia" w:ascii="仿宋_GB2312" w:hAnsi="仿宋_GB2312" w:eastAsia="仿宋_GB2312" w:cs="仿宋_GB2312"/>
          <w:sz w:val="32"/>
          <w:szCs w:val="32"/>
        </w:rPr>
        <w:t>成交价</w:t>
      </w:r>
      <w:r>
        <w:rPr>
          <w:rFonts w:hint="eastAsia" w:ascii="仿宋_GB2312" w:hAnsi="仿宋_GB2312" w:eastAsia="仿宋_GB2312" w:cs="仿宋_GB2312"/>
          <w:sz w:val="32"/>
          <w:szCs w:val="32"/>
          <w:lang w:val="en-US" w:eastAsia="zh-CN"/>
        </w:rPr>
        <w:t>的预付</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竞得人签订《出让合同》后，定金可抵作土地成交价款，余额转作成交价款</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、其它需要公告的事项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宋体" w:eastAsia="仿宋_GB2312" w:cs="宋体"/>
          <w:color w:val="auto"/>
          <w:kern w:val="0"/>
          <w:sz w:val="32"/>
          <w:szCs w:val="32"/>
          <w:lang w:val="en-US" w:eastAsia="zh-CN"/>
        </w:rPr>
        <w:t>4518</w:t>
      </w:r>
      <w:r>
        <w:rPr>
          <w:rFonts w:hint="eastAsia" w:ascii="仿宋_GB2312" w:hAnsi="仿宋_GB2312" w:eastAsia="仿宋_GB2312" w:cs="仿宋_GB2312"/>
          <w:sz w:val="32"/>
          <w:szCs w:val="32"/>
        </w:rPr>
        <w:t>万元（含地价）。</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kern w:val="2"/>
          <w:sz w:val="32"/>
          <w:szCs w:val="32"/>
          <w:lang w:val="en-US" w:eastAsia="zh-CN" w:bidi="ar-SA"/>
        </w:rPr>
        <w:t>竞得人在用地红线内开发建设必须符合城市规划要求，必须按</w:t>
      </w:r>
      <w:r>
        <w:rPr>
          <w:rFonts w:hint="eastAsia" w:ascii="仿宋_GB2312" w:hAnsi="宋体" w:eastAsia="仿宋_GB2312" w:cs="宋体"/>
          <w:color w:val="auto"/>
          <w:kern w:val="0"/>
          <w:sz w:val="32"/>
          <w:szCs w:val="32"/>
        </w:rPr>
        <w:t>《关于惠州市惠城区高新科技产业园南部新城片区23-09-02地块规划要点的说明》（惠市自然资函（惠城）〔2022〕1号）</w:t>
      </w:r>
      <w:r>
        <w:rPr>
          <w:rFonts w:hint="eastAsia" w:ascii="仿宋_GB2312" w:hAnsi="仿宋_GB2312" w:cs="仿宋_GB2312"/>
          <w:kern w:val="2"/>
          <w:sz w:val="32"/>
          <w:szCs w:val="32"/>
          <w:lang w:val="en-US" w:eastAsia="zh-CN" w:bidi="ar-SA"/>
        </w:rPr>
        <w:t>的</w:t>
      </w:r>
      <w:r>
        <w:rPr>
          <w:rFonts w:hint="eastAsia" w:ascii="仿宋_GB2312" w:hAnsi="仿宋_GB2312" w:eastAsia="仿宋_GB2312" w:cs="仿宋_GB2312"/>
          <w:kern w:val="2"/>
          <w:sz w:val="32"/>
          <w:szCs w:val="32"/>
          <w:lang w:val="en-US" w:eastAsia="zh-CN" w:bidi="ar-SA"/>
        </w:rPr>
        <w:t>规划控制指标要求及有关规定进行规划设计</w:t>
      </w:r>
      <w:r>
        <w:rPr>
          <w:rFonts w:hint="eastAsia" w:ascii="仿宋_GB2312" w:hAnsi="宋体" w:eastAsia="仿宋_GB2312" w:cs="宋体"/>
          <w:color w:val="auto"/>
          <w:kern w:val="0"/>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招商条件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投资强度不低于14324元/平方米，土地产出率（营业收入）不低于21486元/平方米/年，税收产出不低于1002元/平方米/年。其中，土地产出率及税收产出，在项目投产后3年内逐年考核，3年内的平均值不得低于上述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须向自然资源部门申请，经惠城区人民政府备案同意，并符合惠城区产业发展方向及项目入区审核标准。本宗地交付乙方后,乙方须向惠州市惠城区高新科技产业园管理委员会提交项目投资计划书和时间安排表，并按月向惠州市惠城区高新科技产业园管理委员会书面报告项目进展情况，直至项目投产。</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竞得人在签订《成交确认书》前，须与</w:t>
      </w:r>
      <w:r>
        <w:rPr>
          <w:rFonts w:hint="eastAsia" w:ascii="仿宋_GB2312" w:hAnsi="仿宋_GB2312" w:eastAsia="仿宋_GB2312" w:cs="仿宋_GB2312"/>
          <w:b w:val="0"/>
          <w:bCs w:val="0"/>
          <w:color w:val="000000"/>
          <w:kern w:val="0"/>
          <w:sz w:val="32"/>
          <w:szCs w:val="32"/>
          <w:lang w:val="en-US" w:eastAsia="zh-CN"/>
        </w:rPr>
        <w:t>惠州市惠城区高新科技产业园管理委员会</w:t>
      </w:r>
      <w:r>
        <w:rPr>
          <w:rFonts w:hint="eastAsia" w:ascii="仿宋_GB2312" w:hAnsi="仿宋_GB2312" w:eastAsia="仿宋_GB2312" w:cs="仿宋_GB2312"/>
          <w:color w:val="auto"/>
          <w:sz w:val="32"/>
          <w:szCs w:val="32"/>
        </w:rPr>
        <w:t>签订《</w:t>
      </w:r>
      <w:r>
        <w:rPr>
          <w:rFonts w:hint="eastAsia" w:ascii="仿宋_GB2312" w:hAnsi="仿宋_GB2312" w:eastAsia="仿宋_GB2312" w:cs="仿宋_GB2312"/>
          <w:color w:val="auto"/>
          <w:sz w:val="32"/>
          <w:szCs w:val="32"/>
          <w:lang w:eastAsia="zh-CN"/>
        </w:rPr>
        <w:t>项目实施监管协议书</w:t>
      </w:r>
      <w:r>
        <w:rPr>
          <w:rFonts w:hint="eastAsia" w:ascii="仿宋_GB2312" w:hAnsi="仿宋_GB2312" w:eastAsia="仿宋_GB2312" w:cs="仿宋_GB2312"/>
          <w:color w:val="auto"/>
          <w:sz w:val="32"/>
          <w:szCs w:val="32"/>
        </w:rPr>
        <w:t>》，并由</w:t>
      </w:r>
      <w:r>
        <w:rPr>
          <w:rFonts w:hint="eastAsia" w:ascii="仿宋_GB2312" w:hAnsi="仿宋_GB2312" w:eastAsia="仿宋_GB2312" w:cs="仿宋_GB2312"/>
          <w:b w:val="0"/>
          <w:bCs w:val="0"/>
          <w:color w:val="000000"/>
          <w:kern w:val="0"/>
          <w:sz w:val="32"/>
          <w:szCs w:val="32"/>
          <w:lang w:val="en-US" w:eastAsia="zh-CN"/>
        </w:rPr>
        <w:t>惠州市惠城区高新科技产业园管理委员会</w:t>
      </w:r>
      <w:r>
        <w:rPr>
          <w:rFonts w:hint="eastAsia" w:ascii="仿宋_GB2312" w:hAnsi="仿宋_GB2312" w:eastAsia="仿宋_GB2312" w:cs="仿宋_GB2312"/>
          <w:color w:val="auto"/>
          <w:sz w:val="32"/>
          <w:szCs w:val="32"/>
        </w:rPr>
        <w:t>对项目用地实施批后监管</w:t>
      </w:r>
      <w:r>
        <w:rPr>
          <w:rFonts w:hint="eastAsia" w:ascii="仿宋_GB2312" w:hAnsi="仿宋_GB2312" w:eastAsia="仿宋_GB2312" w:cs="仿宋_GB2312"/>
          <w:color w:val="auto"/>
          <w:sz w:val="32"/>
          <w:szCs w:val="32"/>
          <w:lang w:val="en-US" w:eastAsia="zh-CN"/>
        </w:rPr>
        <w:t>(详见该宗地网上挂牌文件，网址：https://www.hzgtjy.com/)</w:t>
      </w:r>
      <w:bookmarkStart w:id="0" w:name="_GoBack"/>
      <w:bookmarkEnd w:id="0"/>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sz w:val="32"/>
          <w:szCs w:val="32"/>
        </w:rPr>
        <w:t>竞得人有下列行为之一的，视为违约，取消竞得人资格，</w:t>
      </w:r>
      <w:r>
        <w:rPr>
          <w:rFonts w:hint="eastAsia" w:ascii="仿宋_GB2312" w:hAnsi="仿宋_GB2312" w:eastAsia="仿宋_GB2312" w:cs="仿宋_GB2312"/>
          <w:sz w:val="32"/>
          <w:szCs w:val="32"/>
          <w:lang w:val="en-US" w:eastAsia="zh-CN"/>
        </w:rPr>
        <w:t>定金不予返还</w:t>
      </w:r>
      <w:r>
        <w:rPr>
          <w:rFonts w:hint="eastAsia" w:ascii="仿宋_GB2312" w:hAnsi="仿宋_GB2312" w:eastAsia="仿宋_GB2312" w:cs="仿宋_GB2312"/>
          <w:sz w:val="32"/>
          <w:szCs w:val="32"/>
        </w:rPr>
        <w:t>,并由有关部门依法处理;造成损失的，竞得人还应依法承担赔偿责任：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1、不符合竞买资格条件的；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2、采取行贿、恶意串通等非法手段竞得的；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3、竞得人以其他非法手段竞得的；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4、竞得人逾期或拒绝签订《成交确认书》的；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5、竞得人逾期或拒绝签订《出让合同》的；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7、构成违约责任的其他行为。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）挂牌出让价款不含应由竞得人缴纳的契税、印花税等有关费用。</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（一）惠州市</w:t>
      </w:r>
      <w:r>
        <w:rPr>
          <w:rFonts w:hint="eastAsia" w:ascii="仿宋_GB2312" w:hAnsi="仿宋_GB2312" w:eastAsia="仿宋_GB2312" w:cs="仿宋_GB2312"/>
          <w:color w:val="auto"/>
          <w:sz w:val="32"/>
          <w:szCs w:val="32"/>
          <w:lang w:val="en-US" w:eastAsia="zh-CN"/>
        </w:rPr>
        <w:t>惠城区</w:t>
      </w:r>
      <w:r>
        <w:rPr>
          <w:rFonts w:hint="eastAsia" w:ascii="仿宋_GB2312" w:hAnsi="仿宋_GB2312" w:eastAsia="仿宋_GB2312" w:cs="仿宋_GB2312"/>
          <w:color w:val="auto"/>
          <w:sz w:val="32"/>
          <w:szCs w:val="32"/>
        </w:rPr>
        <w:t>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地址：惠州市</w:t>
      </w:r>
      <w:r>
        <w:rPr>
          <w:rFonts w:hint="eastAsia" w:ascii="仿宋_GB2312" w:hAnsi="仿宋_GB2312" w:eastAsia="仿宋_GB2312" w:cs="仿宋_GB2312"/>
          <w:color w:val="auto"/>
          <w:sz w:val="32"/>
          <w:szCs w:val="32"/>
          <w:lang w:val="en-US" w:eastAsia="zh-CN"/>
        </w:rPr>
        <w:t>下埔路16号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val="en-US" w:eastAsia="zh-CN"/>
        </w:rPr>
        <w:t>陈先生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2117378</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联系地址：广东省惠州市</w:t>
      </w:r>
      <w:r>
        <w:rPr>
          <w:rFonts w:hint="eastAsia" w:ascii="仿宋_GB2312" w:hAnsi="仿宋_GB2312" w:eastAsia="仿宋_GB2312" w:cs="仿宋_GB2312"/>
          <w:sz w:val="32"/>
          <w:szCs w:val="32"/>
          <w:lang w:val="en-US" w:eastAsia="zh-CN"/>
        </w:rPr>
        <w:t>惠城区三新北路31号市民服务中心3号楼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联系人：袁小姐、</w:t>
      </w:r>
      <w:r>
        <w:rPr>
          <w:rFonts w:hint="eastAsia" w:ascii="仿宋_GB2312" w:hAnsi="仿宋_GB2312" w:eastAsia="仿宋_GB2312" w:cs="仿宋_GB2312"/>
          <w:sz w:val="32"/>
          <w:szCs w:val="32"/>
          <w:lang w:val="en-US" w:eastAsia="zh-CN"/>
        </w:rPr>
        <w:t>叶</w:t>
      </w:r>
      <w:r>
        <w:rPr>
          <w:rFonts w:hint="eastAsia" w:ascii="仿宋_GB2312" w:hAnsi="仿宋_GB2312" w:eastAsia="仿宋_GB2312" w:cs="仿宋_GB2312"/>
          <w:sz w:val="32"/>
          <w:szCs w:val="32"/>
        </w:rPr>
        <w:t>小姐</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7121026、7121042</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注：本公告同时在下列网站及场所发布</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中国土地市场网: http://www.landchina.com</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惠州市自然资源局网站：http://land.huizhou.gov.cn</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"http://zyjy.huizhou.gov.cn"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http://zyjy.huizhou.gov.cn</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惠州市公共资源交易中心交易大厅现场。</w:t>
      </w:r>
    </w:p>
    <w:p>
      <w:pPr>
        <w:keepNext w:val="0"/>
        <w:keepLines w:val="0"/>
        <w:pageBreakBefore w:val="0"/>
        <w:widowControl w:val="0"/>
        <w:kinsoku/>
        <w:wordWrap/>
        <w:overflowPunct/>
        <w:topLinePunct w:val="0"/>
        <w:autoSpaceDE/>
        <w:autoSpaceDN/>
        <w:bidi w:val="0"/>
        <w:spacing w:line="560" w:lineRule="exact"/>
        <w:ind w:left="487" w:leftChars="232"/>
        <w:textAlignment w:val="auto"/>
        <w:rPr>
          <w:rFonts w:ascii="宋体" w:hAnsi="宋体" w:cs="宋体"/>
          <w:color w:val="696969"/>
          <w:sz w:val="32"/>
          <w:szCs w:val="32"/>
        </w:rPr>
      </w:pPr>
      <w:r>
        <w:rPr>
          <w:rFonts w:hint="eastAsia" w:ascii="仿宋_GB2312" w:hAnsi="仿宋_GB2312" w:eastAsia="仿宋_GB2312" w:cs="仿宋_GB2312"/>
          <w:sz w:val="32"/>
          <w:szCs w:val="32"/>
        </w:rPr>
        <w:t>数字证书办理地址：广东省惠州市</w:t>
      </w:r>
      <w:r>
        <w:rPr>
          <w:rFonts w:hint="eastAsia" w:ascii="仿宋_GB2312" w:hAnsi="仿宋_GB2312" w:eastAsia="仿宋_GB2312" w:cs="仿宋_GB2312"/>
          <w:sz w:val="32"/>
          <w:szCs w:val="32"/>
          <w:lang w:val="en-US" w:eastAsia="zh-CN"/>
        </w:rPr>
        <w:t>惠城区三新北路31号市民服务中心3号楼惠州市公共资源交易中心一楼大厅1号土地与矿业交易窗口。</w:t>
      </w:r>
    </w:p>
    <w:p>
      <w:pPr>
        <w:keepNext w:val="0"/>
        <w:keepLines w:val="0"/>
        <w:pageBreakBefore w:val="0"/>
        <w:widowControl w:val="0"/>
        <w:kinsoku/>
        <w:wordWrap/>
        <w:overflowPunct/>
        <w:topLinePunct w:val="0"/>
        <w:autoSpaceDE/>
        <w:autoSpaceDN/>
        <w:bidi w:val="0"/>
        <w:spacing w:line="560" w:lineRule="exact"/>
        <w:ind w:firstLine="555"/>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7121029</w:t>
      </w:r>
    </w:p>
    <w:p>
      <w:pPr>
        <w:keepNext w:val="0"/>
        <w:keepLines w:val="0"/>
        <w:pageBreakBefore w:val="0"/>
        <w:widowControl w:val="0"/>
        <w:kinsoku/>
        <w:wordWrap/>
        <w:overflowPunct/>
        <w:topLinePunct w:val="0"/>
        <w:autoSpaceDE/>
        <w:autoSpaceDN/>
        <w:bidi w:val="0"/>
        <w:spacing w:line="560" w:lineRule="exact"/>
        <w:ind w:right="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right="640" w:firstLine="5033" w:firstLineChars="1573"/>
        <w:textAlignment w:val="auto"/>
        <w:rPr>
          <w:rFonts w:hint="eastAsia" w:ascii="仿宋_GB2312" w:hAnsi="仿宋_GB2312" w:eastAsia="仿宋_GB2312" w:cs="仿宋_GB2312"/>
          <w:sz w:val="32"/>
          <w:szCs w:val="32"/>
        </w:rPr>
      </w:pPr>
    </w:p>
    <w:p>
      <w:pPr>
        <w:spacing w:line="360" w:lineRule="auto"/>
        <w:jc w:val="center"/>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eastAsia="zh-CN"/>
        </w:rPr>
        <w:t>惠城区</w:t>
      </w:r>
      <w:r>
        <w:rPr>
          <w:rFonts w:hint="eastAsia" w:ascii="仿宋_GB2312" w:hAnsi="仿宋_GB2312" w:eastAsia="仿宋_GB2312" w:cs="仿宋_GB2312"/>
          <w:sz w:val="32"/>
          <w:szCs w:val="32"/>
        </w:rPr>
        <w:t>自然资源局</w:t>
      </w:r>
    </w:p>
    <w:p>
      <w:pPr>
        <w:spacing w:line="360" w:lineRule="auto"/>
        <w:jc w:val="center"/>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惠州市公共资源交易中心</w:t>
      </w:r>
    </w:p>
    <w:p>
      <w:pPr>
        <w:spacing w:line="360" w:lineRule="auto"/>
        <w:ind w:firstLine="5120" w:firstLineChars="1600"/>
        <w:jc w:val="both"/>
        <w:rPr>
          <w:rFonts w:hint="default" w:ascii="仿宋_GB2312" w:hAnsi="仿宋_GB2312" w:eastAsia="仿宋_GB2312" w:cs="仿宋_GB2312"/>
          <w:sz w:val="32"/>
          <w:szCs w:val="32"/>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val="en-US" w:eastAsia="zh-CN"/>
        </w:rPr>
        <w:t>2022年6月29日</w:t>
      </w:r>
    </w:p>
    <w:p>
      <w:pPr>
        <w:spacing w:line="360" w:lineRule="auto"/>
        <w:rPr>
          <w:rFonts w:hint="eastAsia" w:ascii="黑体" w:hAnsi="黑体" w:eastAsia="黑体"/>
          <w:sz w:val="32"/>
          <w:szCs w:val="32"/>
        </w:rPr>
      </w:pPr>
      <w:r>
        <w:rPr>
          <w:rFonts w:hint="eastAsia" w:ascii="黑体" w:hAnsi="黑体" w:eastAsia="黑体"/>
          <w:sz w:val="32"/>
          <w:szCs w:val="32"/>
        </w:rPr>
        <w:t>附表</w:t>
      </w:r>
    </w:p>
    <w:p>
      <w:pPr>
        <w:tabs>
          <w:tab w:val="left" w:pos="9720"/>
        </w:tabs>
        <w:spacing w:line="360" w:lineRule="auto"/>
        <w:jc w:val="center"/>
        <w:outlineLvl w:val="0"/>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p>
      <w:pPr>
        <w:pStyle w:val="2"/>
        <w:rPr>
          <w:rFonts w:hint="eastAsia"/>
        </w:rPr>
      </w:pPr>
    </w:p>
    <w:tbl>
      <w:tblPr>
        <w:tblStyle w:val="6"/>
        <w:tblW w:w="10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690"/>
        <w:gridCol w:w="615"/>
        <w:gridCol w:w="570"/>
        <w:gridCol w:w="774"/>
        <w:gridCol w:w="948"/>
        <w:gridCol w:w="720"/>
        <w:gridCol w:w="672"/>
        <w:gridCol w:w="1650"/>
        <w:gridCol w:w="1087"/>
        <w:gridCol w:w="900"/>
        <w:gridCol w:w="979"/>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05"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挂牌地块编号</w:t>
            </w:r>
          </w:p>
        </w:tc>
        <w:tc>
          <w:tcPr>
            <w:tcW w:w="690"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土地</w:t>
            </w:r>
          </w:p>
          <w:p>
            <w:pPr>
              <w:spacing w:line="320" w:lineRule="exact"/>
              <w:jc w:val="center"/>
              <w:rPr>
                <w:rFonts w:hint="eastAsia" w:ascii="仿宋_GB2312" w:eastAsia="仿宋_GB2312"/>
                <w:b/>
                <w:bCs/>
                <w:szCs w:val="21"/>
              </w:rPr>
            </w:pPr>
            <w:r>
              <w:rPr>
                <w:rFonts w:hint="eastAsia" w:ascii="仿宋_GB2312" w:eastAsia="仿宋_GB2312"/>
                <w:b/>
                <w:bCs/>
                <w:szCs w:val="21"/>
              </w:rPr>
              <w:t>位置</w:t>
            </w:r>
          </w:p>
        </w:tc>
        <w:tc>
          <w:tcPr>
            <w:tcW w:w="615"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lang w:val="en-US" w:eastAsia="zh-CN"/>
              </w:rPr>
              <w:t>地块</w:t>
            </w:r>
            <w:r>
              <w:rPr>
                <w:rFonts w:hint="eastAsia" w:ascii="仿宋_GB2312" w:eastAsia="仿宋_GB2312"/>
                <w:b/>
                <w:bCs/>
                <w:szCs w:val="21"/>
              </w:rPr>
              <w:t>编号</w:t>
            </w:r>
          </w:p>
        </w:tc>
        <w:tc>
          <w:tcPr>
            <w:tcW w:w="570"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土地</w:t>
            </w:r>
          </w:p>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用途</w:t>
            </w:r>
          </w:p>
        </w:tc>
        <w:tc>
          <w:tcPr>
            <w:tcW w:w="774"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宗地使用权面积（</w:t>
            </w:r>
            <w:r>
              <w:rPr>
                <w:rFonts w:hint="eastAsia" w:ascii="宋体" w:hAnsi="宋体" w:cs="宋体"/>
                <w:b/>
                <w:bCs/>
                <w:szCs w:val="21"/>
              </w:rPr>
              <w:t>㎡</w:t>
            </w:r>
            <w:r>
              <w:rPr>
                <w:rFonts w:hint="eastAsia" w:ascii="仿宋_GB2312" w:eastAsia="仿宋_GB2312"/>
                <w:b/>
                <w:bCs/>
                <w:szCs w:val="21"/>
              </w:rPr>
              <w:t>）</w:t>
            </w:r>
          </w:p>
        </w:tc>
        <w:tc>
          <w:tcPr>
            <w:tcW w:w="6956" w:type="dxa"/>
            <w:gridSpan w:val="7"/>
            <w:vAlign w:val="center"/>
          </w:tcPr>
          <w:p>
            <w:pPr>
              <w:adjustRightInd w:val="0"/>
              <w:snapToGrid w:val="0"/>
              <w:spacing w:line="320" w:lineRule="exact"/>
              <w:ind w:left="1" w:leftChars="-89" w:hanging="188" w:hangingChars="89"/>
              <w:jc w:val="center"/>
              <w:rPr>
                <w:rFonts w:hint="eastAsia" w:ascii="仿宋_GB2312" w:eastAsia="仿宋_GB2312"/>
                <w:b/>
                <w:bCs/>
                <w:szCs w:val="21"/>
              </w:rPr>
            </w:pPr>
            <w:r>
              <w:rPr>
                <w:rFonts w:hint="eastAsia" w:ascii="仿宋_GB2312" w:eastAsia="仿宋_GB2312"/>
                <w:b/>
                <w:bCs/>
                <w:szCs w:val="21"/>
              </w:rPr>
              <w:t>规划指标要求</w:t>
            </w:r>
          </w:p>
        </w:tc>
        <w:tc>
          <w:tcPr>
            <w:tcW w:w="670" w:type="dxa"/>
            <w:vMerge w:val="restart"/>
            <w:vAlign w:val="center"/>
          </w:tcPr>
          <w:p>
            <w:pPr>
              <w:autoSpaceDE w:val="0"/>
              <w:autoSpaceDN w:val="0"/>
              <w:adjustRightInd w:val="0"/>
              <w:spacing w:line="240" w:lineRule="exact"/>
              <w:jc w:val="center"/>
              <w:rPr>
                <w:rFonts w:hint="eastAsia" w:ascii="仿宋_GB2312" w:eastAsia="仿宋_GB2312"/>
                <w:b/>
                <w:bCs/>
              </w:rPr>
            </w:pPr>
            <w:r>
              <w:rPr>
                <w:rFonts w:hint="eastAsia" w:ascii="仿宋_GB2312" w:eastAsia="仿宋_GB2312"/>
                <w:b/>
                <w:bCs/>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705" w:type="dxa"/>
            <w:vMerge w:val="continue"/>
            <w:vAlign w:val="center"/>
          </w:tcPr>
          <w:p>
            <w:pPr>
              <w:adjustRightInd w:val="0"/>
              <w:snapToGrid w:val="0"/>
              <w:spacing w:line="320" w:lineRule="exact"/>
              <w:jc w:val="center"/>
              <w:rPr>
                <w:rFonts w:hint="eastAsia" w:ascii="仿宋_GB2312" w:eastAsia="仿宋_GB2312"/>
                <w:b/>
                <w:bCs/>
              </w:rPr>
            </w:pPr>
          </w:p>
        </w:tc>
        <w:tc>
          <w:tcPr>
            <w:tcW w:w="690" w:type="dxa"/>
            <w:vMerge w:val="continue"/>
            <w:vAlign w:val="center"/>
          </w:tcPr>
          <w:p>
            <w:pPr>
              <w:adjustRightInd w:val="0"/>
              <w:snapToGrid w:val="0"/>
              <w:spacing w:line="320" w:lineRule="exact"/>
              <w:jc w:val="center"/>
              <w:rPr>
                <w:rFonts w:hint="eastAsia" w:ascii="仿宋_GB2312" w:eastAsia="仿宋_GB2312"/>
                <w:b/>
                <w:bCs/>
              </w:rPr>
            </w:pPr>
          </w:p>
        </w:tc>
        <w:tc>
          <w:tcPr>
            <w:tcW w:w="615" w:type="dxa"/>
            <w:vMerge w:val="continue"/>
            <w:vAlign w:val="center"/>
          </w:tcPr>
          <w:p>
            <w:pPr>
              <w:adjustRightInd w:val="0"/>
              <w:snapToGrid w:val="0"/>
              <w:spacing w:line="320" w:lineRule="exact"/>
              <w:jc w:val="center"/>
              <w:rPr>
                <w:rFonts w:hint="eastAsia" w:ascii="仿宋_GB2312" w:eastAsia="仿宋_GB2312"/>
                <w:b/>
                <w:bCs/>
              </w:rPr>
            </w:pPr>
          </w:p>
        </w:tc>
        <w:tc>
          <w:tcPr>
            <w:tcW w:w="570" w:type="dxa"/>
            <w:vMerge w:val="continue"/>
            <w:vAlign w:val="center"/>
          </w:tcPr>
          <w:p>
            <w:pPr>
              <w:adjustRightInd w:val="0"/>
              <w:snapToGrid w:val="0"/>
              <w:spacing w:line="320" w:lineRule="exact"/>
              <w:jc w:val="center"/>
              <w:rPr>
                <w:rFonts w:hint="eastAsia" w:ascii="仿宋_GB2312" w:eastAsia="仿宋_GB2312"/>
                <w:b/>
                <w:bCs/>
              </w:rPr>
            </w:pPr>
          </w:p>
        </w:tc>
        <w:tc>
          <w:tcPr>
            <w:tcW w:w="774" w:type="dxa"/>
            <w:vMerge w:val="continue"/>
            <w:vAlign w:val="center"/>
          </w:tcPr>
          <w:p>
            <w:pPr>
              <w:adjustRightInd w:val="0"/>
              <w:snapToGrid w:val="0"/>
              <w:spacing w:line="320" w:lineRule="exact"/>
              <w:jc w:val="center"/>
              <w:rPr>
                <w:rFonts w:hint="eastAsia" w:ascii="仿宋_GB2312" w:eastAsia="仿宋_GB2312"/>
                <w:b/>
                <w:bCs/>
              </w:rPr>
            </w:pPr>
          </w:p>
        </w:tc>
        <w:tc>
          <w:tcPr>
            <w:tcW w:w="948" w:type="dxa"/>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计算指标用地面积（</w:t>
            </w:r>
            <w:r>
              <w:rPr>
                <w:rFonts w:hint="eastAsia" w:ascii="宋体" w:hAnsi="宋体" w:cs="宋体"/>
                <w:b/>
                <w:bCs/>
                <w:szCs w:val="21"/>
              </w:rPr>
              <w:t>㎡</w:t>
            </w:r>
            <w:r>
              <w:rPr>
                <w:rFonts w:hint="eastAsia" w:ascii="仿宋_GB2312" w:eastAsia="仿宋_GB2312"/>
                <w:b/>
                <w:bCs/>
                <w:szCs w:val="21"/>
              </w:rPr>
              <w:t>）</w:t>
            </w:r>
          </w:p>
        </w:tc>
        <w:tc>
          <w:tcPr>
            <w:tcW w:w="720" w:type="dxa"/>
            <w:vAlign w:val="center"/>
          </w:tcPr>
          <w:p>
            <w:pPr>
              <w:autoSpaceDE w:val="0"/>
              <w:autoSpaceDN w:val="0"/>
              <w:adjustRightInd w:val="0"/>
              <w:spacing w:line="240" w:lineRule="exact"/>
              <w:jc w:val="center"/>
              <w:rPr>
                <w:rFonts w:hint="eastAsia" w:eastAsia="仿宋_GB2312"/>
                <w:b/>
                <w:szCs w:val="21"/>
                <w:lang w:eastAsia="zh-CN"/>
              </w:rPr>
            </w:pPr>
            <w:r>
              <w:rPr>
                <w:rFonts w:hint="eastAsia" w:eastAsia="仿宋_GB2312"/>
                <w:b/>
                <w:szCs w:val="21"/>
              </w:rPr>
              <w:t>建筑</w:t>
            </w:r>
            <w:r>
              <w:rPr>
                <w:rFonts w:hint="eastAsia" w:eastAsia="仿宋_GB2312"/>
                <w:b/>
                <w:szCs w:val="21"/>
                <w:lang w:val="en-US" w:eastAsia="zh-CN"/>
              </w:rPr>
              <w:t>系数</w:t>
            </w:r>
          </w:p>
          <w:p>
            <w:pPr>
              <w:autoSpaceDE w:val="0"/>
              <w:autoSpaceDN w:val="0"/>
              <w:adjustRightInd w:val="0"/>
              <w:spacing w:line="240" w:lineRule="exact"/>
              <w:jc w:val="center"/>
              <w:rPr>
                <w:rFonts w:hint="eastAsia" w:ascii="仿宋_GB2312" w:eastAsia="仿宋_GB2312"/>
                <w:b/>
                <w:bCs/>
                <w:szCs w:val="21"/>
              </w:rPr>
            </w:pPr>
            <w:r>
              <w:rPr>
                <w:rFonts w:hint="eastAsia" w:ascii="宋体" w:hAnsi="宋体" w:cs="宋体"/>
                <w:b/>
                <w:szCs w:val="21"/>
              </w:rPr>
              <w:t>（％）</w:t>
            </w:r>
          </w:p>
        </w:tc>
        <w:tc>
          <w:tcPr>
            <w:tcW w:w="672" w:type="dxa"/>
            <w:vAlign w:val="center"/>
          </w:tcPr>
          <w:p>
            <w:pPr>
              <w:autoSpaceDE w:val="0"/>
              <w:autoSpaceDN w:val="0"/>
              <w:adjustRightInd w:val="0"/>
              <w:spacing w:line="240" w:lineRule="exact"/>
              <w:jc w:val="center"/>
              <w:rPr>
                <w:rFonts w:hint="eastAsia" w:ascii="仿宋_GB2312" w:eastAsia="仿宋_GB2312"/>
                <w:b/>
                <w:bCs/>
                <w:szCs w:val="21"/>
              </w:rPr>
            </w:pPr>
            <w:r>
              <w:rPr>
                <w:rFonts w:hint="eastAsia" w:ascii="仿宋_GB2312" w:eastAsia="仿宋_GB2312"/>
                <w:b/>
                <w:bCs/>
                <w:szCs w:val="21"/>
              </w:rPr>
              <w:t>容积率</w:t>
            </w:r>
          </w:p>
        </w:tc>
        <w:tc>
          <w:tcPr>
            <w:tcW w:w="1650" w:type="dxa"/>
            <w:vAlign w:val="center"/>
          </w:tcPr>
          <w:p>
            <w:pPr>
              <w:spacing w:line="320" w:lineRule="exact"/>
              <w:ind w:left="44" w:right="-53" w:rightChars="-25" w:hanging="44" w:hangingChars="21"/>
              <w:jc w:val="center"/>
              <w:rPr>
                <w:rFonts w:hint="eastAsia" w:ascii="仿宋_GB2312" w:eastAsia="仿宋_GB2312"/>
                <w:b/>
                <w:bCs/>
                <w:szCs w:val="21"/>
              </w:rPr>
            </w:pPr>
            <w:r>
              <w:rPr>
                <w:rFonts w:hint="eastAsia" w:ascii="仿宋_GB2312" w:eastAsia="仿宋_GB2312"/>
                <w:b/>
                <w:bCs/>
                <w:szCs w:val="21"/>
              </w:rPr>
              <w:t>计容积率建筑面积（</w:t>
            </w:r>
            <w:r>
              <w:rPr>
                <w:rFonts w:hint="eastAsia" w:ascii="宋体" w:hAnsi="宋体" w:cs="宋体"/>
                <w:b/>
                <w:bCs/>
                <w:szCs w:val="21"/>
              </w:rPr>
              <w:t>㎡</w:t>
            </w:r>
            <w:r>
              <w:rPr>
                <w:rFonts w:hint="eastAsia" w:ascii="仿宋_GB2312" w:eastAsia="仿宋_GB2312"/>
                <w:b/>
                <w:bCs/>
                <w:szCs w:val="21"/>
              </w:rPr>
              <w:t>）</w:t>
            </w:r>
          </w:p>
        </w:tc>
        <w:tc>
          <w:tcPr>
            <w:tcW w:w="1087" w:type="dxa"/>
            <w:vAlign w:val="center"/>
          </w:tcPr>
          <w:p>
            <w:pPr>
              <w:autoSpaceDE w:val="0"/>
              <w:autoSpaceDN w:val="0"/>
              <w:adjustRightInd w:val="0"/>
              <w:spacing w:line="240" w:lineRule="exact"/>
              <w:jc w:val="center"/>
              <w:rPr>
                <w:rFonts w:hint="eastAsia" w:ascii="仿宋_GB2312" w:eastAsia="仿宋_GB2312"/>
                <w:b/>
                <w:bCs/>
              </w:rPr>
            </w:pPr>
            <w:r>
              <w:rPr>
                <w:rFonts w:hint="eastAsia" w:eastAsia="仿宋_GB2312"/>
                <w:b/>
                <w:szCs w:val="21"/>
              </w:rPr>
              <w:t>机动车停车位配建标准</w:t>
            </w:r>
          </w:p>
        </w:tc>
        <w:tc>
          <w:tcPr>
            <w:tcW w:w="900"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绿地率</w:t>
            </w:r>
          </w:p>
          <w:p>
            <w:pPr>
              <w:autoSpaceDE w:val="0"/>
              <w:autoSpaceDN w:val="0"/>
              <w:adjustRightInd w:val="0"/>
              <w:spacing w:line="240" w:lineRule="exact"/>
              <w:jc w:val="center"/>
              <w:rPr>
                <w:rFonts w:hint="eastAsia" w:eastAsia="仿宋_GB2312"/>
                <w:b/>
                <w:szCs w:val="21"/>
              </w:rPr>
            </w:pPr>
            <w:r>
              <w:rPr>
                <w:rFonts w:hint="eastAsia" w:ascii="宋体" w:hAnsi="宋体" w:cs="宋体"/>
                <w:b/>
                <w:szCs w:val="21"/>
              </w:rPr>
              <w:t>（％）</w:t>
            </w:r>
          </w:p>
        </w:tc>
        <w:tc>
          <w:tcPr>
            <w:tcW w:w="979" w:type="dxa"/>
            <w:vAlign w:val="center"/>
          </w:tcPr>
          <w:p>
            <w:pPr>
              <w:autoSpaceDE w:val="0"/>
              <w:autoSpaceDN w:val="0"/>
              <w:adjustRightInd w:val="0"/>
              <w:spacing w:line="240" w:lineRule="exact"/>
              <w:jc w:val="center"/>
              <w:rPr>
                <w:rFonts w:hint="eastAsia" w:ascii="仿宋_GB2312" w:eastAsia="仿宋_GB2312"/>
                <w:b/>
                <w:bCs/>
                <w:szCs w:val="21"/>
                <w:lang w:eastAsia="zh-CN"/>
              </w:rPr>
            </w:pPr>
            <w:r>
              <w:rPr>
                <w:rFonts w:hint="eastAsia" w:ascii="仿宋_GB2312" w:eastAsia="仿宋_GB2312"/>
                <w:b/>
                <w:bCs/>
                <w:szCs w:val="21"/>
                <w:lang w:eastAsia="zh-CN"/>
              </w:rPr>
              <w:t>产业</w:t>
            </w:r>
          </w:p>
          <w:p>
            <w:pPr>
              <w:autoSpaceDE w:val="0"/>
              <w:autoSpaceDN w:val="0"/>
              <w:adjustRightInd w:val="0"/>
              <w:spacing w:line="240" w:lineRule="exact"/>
              <w:jc w:val="center"/>
              <w:rPr>
                <w:rFonts w:hint="eastAsia" w:ascii="仿宋_GB2312" w:eastAsia="仿宋_GB2312"/>
                <w:b/>
                <w:bCs/>
                <w:lang w:eastAsia="zh-CN"/>
              </w:rPr>
            </w:pPr>
            <w:r>
              <w:rPr>
                <w:rFonts w:hint="eastAsia" w:ascii="仿宋_GB2312" w:eastAsia="仿宋_GB2312"/>
                <w:b/>
                <w:bCs/>
                <w:szCs w:val="21"/>
                <w:lang w:eastAsia="zh-CN"/>
              </w:rPr>
              <w:t>类型</w:t>
            </w:r>
          </w:p>
        </w:tc>
        <w:tc>
          <w:tcPr>
            <w:tcW w:w="670" w:type="dxa"/>
            <w:vMerge w:val="continue"/>
            <w:vAlign w:val="center"/>
          </w:tcPr>
          <w:p>
            <w:pPr>
              <w:autoSpaceDE w:val="0"/>
              <w:autoSpaceDN w:val="0"/>
              <w:adjustRightInd w:val="0"/>
              <w:spacing w:line="240" w:lineRule="exact"/>
              <w:jc w:val="center"/>
              <w:rPr>
                <w:rFonts w:hint="eastAsia"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6" w:hRule="atLeast"/>
          <w:jc w:val="center"/>
        </w:trPr>
        <w:tc>
          <w:tcPr>
            <w:tcW w:w="705" w:type="dxa"/>
            <w:tcMar>
              <w:left w:w="0" w:type="dxa"/>
              <w:right w:w="0" w:type="dxa"/>
            </w:tcMar>
            <w:vAlign w:val="center"/>
          </w:tcPr>
          <w:p>
            <w:pPr>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GP2022-20</w:t>
            </w:r>
          </w:p>
        </w:tc>
        <w:tc>
          <w:tcPr>
            <w:tcW w:w="690" w:type="dxa"/>
            <w:vAlign w:val="center"/>
          </w:tcPr>
          <w:p>
            <w:pPr>
              <w:jc w:val="center"/>
              <w:rPr>
                <w:rFonts w:hint="default" w:ascii="仿宋_GB2312" w:hAnsi="Times New Roman" w:eastAsia="仿宋_GB2312"/>
                <w:szCs w:val="21"/>
                <w:lang w:val="en-US" w:eastAsia="zh-CN"/>
              </w:rPr>
            </w:pPr>
            <w:r>
              <w:rPr>
                <w:rFonts w:hint="eastAsia" w:ascii="仿宋_GB2312" w:hAnsi="Times New Roman" w:eastAsia="仿宋_GB2312" w:cs="Times New Roman"/>
                <w:szCs w:val="21"/>
                <w:lang w:val="en-US" w:eastAsia="zh-CN"/>
              </w:rPr>
              <w:t>惠州市惠城区高新科技产业园南部新城片区23-09-02地块</w:t>
            </w:r>
          </w:p>
        </w:tc>
        <w:tc>
          <w:tcPr>
            <w:tcW w:w="615"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23-09-02</w:t>
            </w:r>
          </w:p>
        </w:tc>
        <w:tc>
          <w:tcPr>
            <w:tcW w:w="570" w:type="dxa"/>
            <w:tcMar>
              <w:left w:w="0" w:type="dxa"/>
              <w:right w:w="0" w:type="dxa"/>
            </w:tcMar>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一类工业用地</w:t>
            </w:r>
          </w:p>
        </w:tc>
        <w:tc>
          <w:tcPr>
            <w:tcW w:w="774"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3154</w:t>
            </w:r>
          </w:p>
        </w:tc>
        <w:tc>
          <w:tcPr>
            <w:tcW w:w="948"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3154</w:t>
            </w:r>
          </w:p>
        </w:tc>
        <w:tc>
          <w:tcPr>
            <w:tcW w:w="72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30-40</w:t>
            </w:r>
          </w:p>
        </w:tc>
        <w:tc>
          <w:tcPr>
            <w:tcW w:w="672"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1.6</w:t>
            </w:r>
            <w:r>
              <w:rPr>
                <w:rFonts w:hint="default" w:ascii="仿宋_GB2312" w:hAnsi="Times New Roman" w:eastAsia="仿宋_GB2312" w:cs="Times New Roman"/>
                <w:szCs w:val="21"/>
                <w:lang w:val="en-US" w:eastAsia="zh-CN"/>
              </w:rPr>
              <w:t>-</w:t>
            </w:r>
            <w:r>
              <w:rPr>
                <w:rFonts w:hint="eastAsia" w:ascii="仿宋_GB2312" w:hAnsi="Times New Roman" w:eastAsia="仿宋_GB2312" w:cs="Times New Roman"/>
                <w:szCs w:val="21"/>
                <w:lang w:val="en-US" w:eastAsia="zh-CN"/>
              </w:rPr>
              <w:t>1.8</w:t>
            </w:r>
          </w:p>
        </w:tc>
        <w:tc>
          <w:tcPr>
            <w:tcW w:w="165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5047-5677</w:t>
            </w:r>
          </w:p>
        </w:tc>
        <w:tc>
          <w:tcPr>
            <w:tcW w:w="1087"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每100平方米计容积率建筑面积≥0.3个</w:t>
            </w:r>
          </w:p>
        </w:tc>
        <w:tc>
          <w:tcPr>
            <w:tcW w:w="900"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15-20</w:t>
            </w:r>
          </w:p>
        </w:tc>
        <w:tc>
          <w:tcPr>
            <w:tcW w:w="979"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通信设备、计算机及其他电子设备制造业</w:t>
            </w:r>
          </w:p>
        </w:tc>
        <w:tc>
          <w:tcPr>
            <w:tcW w:w="670"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50年</w:t>
            </w:r>
          </w:p>
          <w:p>
            <w:pPr>
              <w:jc w:val="center"/>
              <w:rPr>
                <w:rFonts w:hint="eastAsia" w:ascii="仿宋_GB2312" w:hAnsi="Times New Roman" w:eastAsia="仿宋_GB2312" w:cs="Times New Roman"/>
                <w:szCs w:val="21"/>
                <w:lang w:val="en-US" w:eastAsia="zh-CN"/>
              </w:rPr>
            </w:pPr>
          </w:p>
        </w:tc>
      </w:tr>
    </w:tbl>
    <w:p>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separate"/>
    </w:r>
    <w:r>
      <w:rPr>
        <w:rStyle w:val="8"/>
      </w:rPr>
      <w:t>- 4 -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separate"/>
    </w:r>
    <w:r>
      <w:rPr>
        <w:rStyle w:val="8"/>
      </w:rPr>
      <w:t>1</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5C969B"/>
    <w:multiLevelType w:val="singleLevel"/>
    <w:tmpl w:val="015C96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F36E6"/>
    <w:rsid w:val="045C3FD8"/>
    <w:rsid w:val="04946AA6"/>
    <w:rsid w:val="07386886"/>
    <w:rsid w:val="082B1937"/>
    <w:rsid w:val="0D167AC3"/>
    <w:rsid w:val="0DF23899"/>
    <w:rsid w:val="0E7A65F6"/>
    <w:rsid w:val="0F5C7083"/>
    <w:rsid w:val="101D3BC2"/>
    <w:rsid w:val="10BD4DFA"/>
    <w:rsid w:val="111502FA"/>
    <w:rsid w:val="11497254"/>
    <w:rsid w:val="137618AF"/>
    <w:rsid w:val="1378696F"/>
    <w:rsid w:val="13D50F1B"/>
    <w:rsid w:val="14895F86"/>
    <w:rsid w:val="165A06F9"/>
    <w:rsid w:val="167673A1"/>
    <w:rsid w:val="17AA0480"/>
    <w:rsid w:val="188D227F"/>
    <w:rsid w:val="1A0B2C56"/>
    <w:rsid w:val="1AA5305E"/>
    <w:rsid w:val="1AB96397"/>
    <w:rsid w:val="1ADB0E54"/>
    <w:rsid w:val="1BBA2C7F"/>
    <w:rsid w:val="1C5904D7"/>
    <w:rsid w:val="1DA10869"/>
    <w:rsid w:val="1DD73460"/>
    <w:rsid w:val="1DE30B94"/>
    <w:rsid w:val="1E862B6D"/>
    <w:rsid w:val="1F7C2358"/>
    <w:rsid w:val="20ED2229"/>
    <w:rsid w:val="214F5422"/>
    <w:rsid w:val="22890C8D"/>
    <w:rsid w:val="23635EBF"/>
    <w:rsid w:val="25032222"/>
    <w:rsid w:val="25055FD6"/>
    <w:rsid w:val="28774868"/>
    <w:rsid w:val="2A6B42FA"/>
    <w:rsid w:val="2A870225"/>
    <w:rsid w:val="2AC221EF"/>
    <w:rsid w:val="2B5D4967"/>
    <w:rsid w:val="2B991EB8"/>
    <w:rsid w:val="2CF10829"/>
    <w:rsid w:val="2EE172DE"/>
    <w:rsid w:val="304C7078"/>
    <w:rsid w:val="31CE6D72"/>
    <w:rsid w:val="334624C4"/>
    <w:rsid w:val="35335FA2"/>
    <w:rsid w:val="35521EEE"/>
    <w:rsid w:val="36061489"/>
    <w:rsid w:val="37607760"/>
    <w:rsid w:val="380440B7"/>
    <w:rsid w:val="381E07C6"/>
    <w:rsid w:val="38BD14D1"/>
    <w:rsid w:val="393D0EAE"/>
    <w:rsid w:val="3A1539BC"/>
    <w:rsid w:val="3B315140"/>
    <w:rsid w:val="3C13026D"/>
    <w:rsid w:val="3DDC60B5"/>
    <w:rsid w:val="3F3714BF"/>
    <w:rsid w:val="40231E47"/>
    <w:rsid w:val="40363F40"/>
    <w:rsid w:val="411B39E1"/>
    <w:rsid w:val="42CE6157"/>
    <w:rsid w:val="43706132"/>
    <w:rsid w:val="45C047BF"/>
    <w:rsid w:val="45DC2943"/>
    <w:rsid w:val="48572CF1"/>
    <w:rsid w:val="4A1228DB"/>
    <w:rsid w:val="4A1B1ECC"/>
    <w:rsid w:val="4AE74DD0"/>
    <w:rsid w:val="4C2E14D5"/>
    <w:rsid w:val="4F760243"/>
    <w:rsid w:val="4F861E18"/>
    <w:rsid w:val="50AC3441"/>
    <w:rsid w:val="538C505C"/>
    <w:rsid w:val="552F0F07"/>
    <w:rsid w:val="55B64659"/>
    <w:rsid w:val="565101CA"/>
    <w:rsid w:val="567F481B"/>
    <w:rsid w:val="57A3234F"/>
    <w:rsid w:val="57C844D5"/>
    <w:rsid w:val="596A13D8"/>
    <w:rsid w:val="5A893EB0"/>
    <w:rsid w:val="5AF873B7"/>
    <w:rsid w:val="5C8041A9"/>
    <w:rsid w:val="5D241B5A"/>
    <w:rsid w:val="5E3B0440"/>
    <w:rsid w:val="606821F3"/>
    <w:rsid w:val="60BF3E28"/>
    <w:rsid w:val="614A26F3"/>
    <w:rsid w:val="64D925C4"/>
    <w:rsid w:val="68527CA2"/>
    <w:rsid w:val="692A6240"/>
    <w:rsid w:val="6E243EC3"/>
    <w:rsid w:val="6EB83079"/>
    <w:rsid w:val="6F4B3B48"/>
    <w:rsid w:val="73BE7EBD"/>
    <w:rsid w:val="73D33D8C"/>
    <w:rsid w:val="748840AA"/>
    <w:rsid w:val="750D1BD7"/>
    <w:rsid w:val="761352C3"/>
    <w:rsid w:val="77DD303C"/>
    <w:rsid w:val="79E82C45"/>
    <w:rsid w:val="7ACA2817"/>
    <w:rsid w:val="7B832F79"/>
    <w:rsid w:val="7D060077"/>
    <w:rsid w:val="7F252698"/>
    <w:rsid w:val="7F824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2019-12-12T06:35:00Z</dcterms:created>
  <dc:creator>Administrator</dc:creator>
  <cp:lastModifiedBy>叶舒</cp:lastModifiedBy>
  <cp:lastPrinted>2022-03-09T07:18:00Z</cp:lastPrinted>
  <dcterms:modified xsi:type="dcterms:W3CDTF">2022-06-29T09:00:03Z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2376193916E34C638ABC7AA510448726</vt:lpwstr>
  </property>
</Properties>
</file>